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3D" w:rsidRPr="00785FAC" w:rsidRDefault="00406C3D" w:rsidP="00406C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49496F"/>
          <w:sz w:val="32"/>
          <w:szCs w:val="32"/>
        </w:rPr>
      </w:pPr>
      <w:r w:rsidRPr="00785FAC">
        <w:rPr>
          <w:rFonts w:ascii="Verdana" w:hAnsi="Verdana" w:cs="Verdana"/>
          <w:bCs/>
          <w:color w:val="49496F"/>
          <w:sz w:val="32"/>
          <w:szCs w:val="32"/>
        </w:rPr>
        <w:t>Fasit til oppsummeringsspørsmålene</w:t>
      </w:r>
    </w:p>
    <w:p w:rsidR="00406C3D" w:rsidRDefault="00406C3D" w:rsidP="00406C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32"/>
          <w:szCs w:val="32"/>
        </w:rPr>
      </w:pPr>
    </w:p>
    <w:p w:rsidR="00406C3D" w:rsidRPr="000949AC" w:rsidRDefault="00406C3D" w:rsidP="00406C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32"/>
          <w:szCs w:val="32"/>
        </w:rPr>
      </w:pPr>
      <w:r>
        <w:rPr>
          <w:rFonts w:ascii="Verdana" w:hAnsi="Verdana" w:cs="Verdana"/>
          <w:b/>
          <w:bCs/>
          <w:color w:val="49496F"/>
          <w:sz w:val="32"/>
          <w:szCs w:val="32"/>
        </w:rPr>
        <w:t xml:space="preserve">Kapittel 8 – Modernisme og tradisjonalisme </w:t>
      </w:r>
      <w:r w:rsidR="00785FAC">
        <w:rPr>
          <w:rFonts w:ascii="Verdana" w:hAnsi="Verdana" w:cs="Verdana"/>
          <w:b/>
          <w:bCs/>
          <w:color w:val="49496F"/>
          <w:sz w:val="32"/>
          <w:szCs w:val="32"/>
        </w:rPr>
        <w:t>–</w:t>
      </w:r>
      <w:r>
        <w:rPr>
          <w:rFonts w:ascii="Verdana" w:hAnsi="Verdana" w:cs="Verdana"/>
          <w:b/>
          <w:bCs/>
          <w:color w:val="49496F"/>
          <w:sz w:val="32"/>
          <w:szCs w:val="32"/>
        </w:rPr>
        <w:t xml:space="preserve"> 1940</w:t>
      </w:r>
      <w:r w:rsidR="00785FAC">
        <w:rPr>
          <w:rFonts w:ascii="Verdana" w:hAnsi="Verdana" w:cs="Verdana"/>
          <w:b/>
          <w:bCs/>
          <w:color w:val="49496F"/>
          <w:sz w:val="32"/>
          <w:szCs w:val="32"/>
        </w:rPr>
        <w:t>–</w:t>
      </w:r>
      <w:r>
        <w:rPr>
          <w:rFonts w:ascii="Verdana" w:hAnsi="Verdana" w:cs="Verdana"/>
          <w:b/>
          <w:bCs/>
          <w:color w:val="49496F"/>
          <w:sz w:val="32"/>
          <w:szCs w:val="32"/>
        </w:rPr>
        <w:t>198</w:t>
      </w:r>
      <w:r w:rsidRPr="000949AC">
        <w:rPr>
          <w:rFonts w:ascii="Verdana" w:hAnsi="Verdana" w:cs="Verdana"/>
          <w:b/>
          <w:bCs/>
          <w:color w:val="49496F"/>
          <w:sz w:val="32"/>
          <w:szCs w:val="32"/>
        </w:rPr>
        <w:t>0</w:t>
      </w:r>
    </w:p>
    <w:p w:rsidR="00406C3D" w:rsidRDefault="00406C3D" w:rsidP="00406C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Hvilke politiske hendelser i Norge og i verden for øvrig har preget litteraturen i perioden 1940–1980? Lag en liste.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Andre verdenskrig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Atomvåpentrussel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Den kalde krigen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Norges medlemskap i NATO fra 1949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Utbyggingen av det norske velferdssamfunnet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Oljefunn fra 1960-/70-tallet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Vietnam-krigen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 xml:space="preserve"> på 1960-/70-tallet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Studentopprøret i Paris 1968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Ny studiestøtteordning førte til økt antall studenter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Sterk kommunistisk og feministisk ideologi på 1970-tallet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C40378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Gjør kort rede for utviklingen innenfor modernismen etter 1940 og forklar følgende fagbegreper</w:t>
      </w:r>
      <w:r w:rsidR="00C40378" w:rsidRPr="00F97E77">
        <w:rPr>
          <w:rFonts w:ascii="Verdana" w:hAnsi="Verdana" w:cs="Verdana"/>
          <w:sz w:val="24"/>
          <w:szCs w:val="24"/>
        </w:rPr>
        <w:t xml:space="preserve">: </w:t>
      </w:r>
      <w:r w:rsidR="00C40378" w:rsidRPr="00F97E77">
        <w:rPr>
          <w:rFonts w:ascii="Verdana" w:hAnsi="Verdana" w:cs="Verdana"/>
          <w:i/>
          <w:sz w:val="24"/>
          <w:szCs w:val="24"/>
        </w:rPr>
        <w:t>fremmedgjøringsteater, eksistensialisme, absurd teater, ekspresjonisme, femtitallsmodernisme, konkretisme og det nyenkle</w:t>
      </w:r>
      <w:r w:rsidRPr="00F97E77">
        <w:rPr>
          <w:rFonts w:ascii="Verdana" w:hAnsi="Verdana" w:cs="Verdana"/>
          <w:sz w:val="24"/>
          <w:szCs w:val="24"/>
        </w:rPr>
        <w:t xml:space="preserve">. Trekk inn relevante forfattere, tekster og kunstarter: </w:t>
      </w:r>
    </w:p>
    <w:p w:rsidR="00C40378" w:rsidRPr="00F97E77" w:rsidRDefault="00C40378" w:rsidP="00406C3D">
      <w:pPr>
        <w:pStyle w:val="Listeavsnit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40378" w:rsidRPr="00F97E77" w:rsidRDefault="00C40378" w:rsidP="00C40378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fremmedgjøringsteater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: Etter den tyske dramatikeren Bertolt Brechts (1898-1956) </w:t>
      </w:r>
      <w:proofErr w:type="spellStart"/>
      <w:r w:rsidRPr="00F97E77">
        <w:rPr>
          <w:rFonts w:ascii="Verdana" w:hAnsi="Verdana" w:cs="Verdana"/>
          <w:i/>
          <w:color w:val="0070C0"/>
          <w:sz w:val="24"/>
          <w:szCs w:val="24"/>
        </w:rPr>
        <w:t>Verfremdungstechnik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 xml:space="preserve">: Dramatikk som bryter med Ibsens titteskapsteater og virkelighetsillusjonen; publikum skal ikke la seg rive med følelsesmessig, men ha distanse. Innslag av sang- og dansenumre som i en kabaret, og politisk motiv. Eksempel: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Tolvskillingsoperaen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(1928) og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 xml:space="preserve">Mor </w:t>
      </w:r>
      <w:proofErr w:type="spellStart"/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Courage</w:t>
      </w:r>
      <w:proofErr w:type="spellEnd"/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(1939). </w:t>
      </w:r>
      <w:r w:rsidRPr="00F97E77">
        <w:rPr>
          <w:rFonts w:ascii="Verdana" w:hAnsi="Verdana" w:cs="Verdana"/>
          <w:color w:val="0070C0"/>
          <w:sz w:val="24"/>
          <w:szCs w:val="24"/>
        </w:rPr>
        <w:t>Inspirerte norske Jens Bjørneboe.</w:t>
      </w:r>
    </w:p>
    <w:p w:rsidR="00C40378" w:rsidRPr="00F97E77" w:rsidRDefault="00C40378" w:rsidP="00C403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C403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eksistensialisme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: Filosofisk retning som oppsto med den danske filosofen Søren Kierkegaard i senromantikken (1800-tallet) og ble videreført av franske filosofer på 1940- og 50-tallet. Vektlegger at mennesket må ta valg og har ansvar for eget og andres liv. Idealet er et </w:t>
      </w:r>
      <w:r w:rsidRPr="00F97E77">
        <w:rPr>
          <w:rFonts w:ascii="Verdana" w:hAnsi="Verdana" w:cs="Verdana"/>
          <w:i/>
          <w:color w:val="0070C0"/>
          <w:sz w:val="24"/>
          <w:szCs w:val="24"/>
        </w:rPr>
        <w:t>autentisk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 liv (at individet lever en bevisst tilværelse og tar valg). </w:t>
      </w: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Filosofer og verk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 xml:space="preserve">: </w:t>
      </w:r>
    </w:p>
    <w:p w:rsidR="00406C3D" w:rsidRPr="00F97E77" w:rsidRDefault="00406C3D" w:rsidP="00406C3D">
      <w:pPr>
        <w:pStyle w:val="Listeavsnit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Albert Camus (1913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1960)</w:t>
      </w:r>
      <w:r w:rsidRPr="00F97E77">
        <w:rPr>
          <w:rFonts w:ascii="Verdana" w:eastAsia="Times New Roman" w:hAnsi="Verdana" w:cs="Arial"/>
          <w:iCs/>
          <w:color w:val="0070C0"/>
          <w:sz w:val="24"/>
          <w:szCs w:val="24"/>
          <w:lang w:eastAsia="nb-NO"/>
        </w:rPr>
        <w:t>: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Den fremmede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(1942) og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Myten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om Sisyfos: Essay om det absurde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(1942). </w:t>
      </w:r>
    </w:p>
    <w:p w:rsidR="00406C3D" w:rsidRPr="00F97E77" w:rsidRDefault="00406C3D" w:rsidP="00406C3D">
      <w:pPr>
        <w:pStyle w:val="Listeavsnit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da-DK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>Jean-Paul Sartre (1905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>1980):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val="da-DK" w:eastAsia="nb-NO"/>
        </w:rPr>
        <w:t xml:space="preserve"> Væren og Intet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 xml:space="preserve"> (1943). </w:t>
      </w:r>
    </w:p>
    <w:p w:rsidR="00406C3D" w:rsidRPr="00F97E77" w:rsidRDefault="00406C3D" w:rsidP="00406C3D">
      <w:pPr>
        <w:pStyle w:val="Listeavsnit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Simone de Beauvoir (1908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1986):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Det annet kjønn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(1949), et viktig verk i feminismens historie.</w:t>
      </w:r>
    </w:p>
    <w:p w:rsidR="00C40378" w:rsidRPr="00F97E77" w:rsidRDefault="00C40378" w:rsidP="00C40378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eastAsia="Times New Roman" w:hAnsi="Verdana" w:cs="Arial"/>
          <w:color w:val="0070C0"/>
          <w:sz w:val="24"/>
          <w:szCs w:val="24"/>
          <w:lang w:eastAsia="nb-NO"/>
        </w:rPr>
      </w:pPr>
    </w:p>
    <w:p w:rsidR="00C40378" w:rsidRPr="00F97E77" w:rsidRDefault="00C40378" w:rsidP="00C40378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absurd teater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: Modernistisk teater som formidler tanken om at 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tilværelsen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 xml:space="preserve"> er meningsløs med absurde, meningsløse innslag som ikke gir svarene mennesket ønsker seg. Eksempel: Samuel Beckett: </w:t>
      </w:r>
      <w:r w:rsidRPr="00F97E77">
        <w:rPr>
          <w:rFonts w:ascii="Verdana" w:hAnsi="Verdana" w:cs="Verdana"/>
          <w:i/>
          <w:color w:val="0070C0"/>
          <w:sz w:val="24"/>
          <w:szCs w:val="24"/>
        </w:rPr>
        <w:t>Mens vi venter på Godot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 (1952).</w:t>
      </w:r>
    </w:p>
    <w:p w:rsidR="00C40378" w:rsidRPr="00F97E77" w:rsidRDefault="00C40378" w:rsidP="00C40378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ekspresjonisme</w:t>
      </w:r>
      <w:r w:rsidRPr="00F97E77">
        <w:rPr>
          <w:rFonts w:ascii="Verdana" w:hAnsi="Verdana" w:cs="Verdana"/>
          <w:color w:val="0070C0"/>
          <w:sz w:val="24"/>
          <w:szCs w:val="24"/>
        </w:rPr>
        <w:t>: Modernistisk retning der beskrivelsene av omverden er preget av individets følelser og tanker og blir subjektiv.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femtitallsmodernisme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: Betegnelsen på den lyriske modernismen som fikk sitt gjennombrudd i Norge i 1950-årene. Krevende og preget av mye symbolikk, dystert verdensbilde og fokus på det fremmedgjorte individet. Diktereksempel: Gunvor Hofmo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(1921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1995)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, Tarjei Vesaas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(1897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1970)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, Paal Brekke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(1923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1993).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konkretisme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: Modernistisk stil/retning på 1960-tallet der det symboltunge kommer i bakgrunnen og fokus rettes mer mot den konkrete virkeligheten, tingene rundt oss. Forfatterne fokuserte på den fysiske verden som noe som har verdi i seg selv, ikke bare som bilde på noe annet. Eksempel: Olav H.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Hauges (1908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1994) 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diktsamling </w:t>
      </w:r>
      <w:proofErr w:type="spellStart"/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Dropar</w:t>
      </w:r>
      <w:proofErr w:type="spellEnd"/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i austavind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(1966)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>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C40378" w:rsidP="00406C3D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det nyenkle</w:t>
      </w:r>
      <w:r w:rsidR="00406C3D" w:rsidRPr="00F97E77">
        <w:rPr>
          <w:rFonts w:ascii="Verdana" w:hAnsi="Verdana" w:cs="Verdana"/>
          <w:color w:val="0070C0"/>
          <w:sz w:val="24"/>
          <w:szCs w:val="24"/>
        </w:rPr>
        <w:t xml:space="preserve">: </w:t>
      </w:r>
      <w:r w:rsidR="00406C3D" w:rsidRPr="00F97E77">
        <w:rPr>
          <w:rFonts w:ascii="Verdana" w:hAnsi="Verdana" w:cs="Verdana"/>
          <w:iCs/>
          <w:color w:val="0070C0"/>
          <w:sz w:val="24"/>
          <w:szCs w:val="24"/>
        </w:rPr>
        <w:t>Modernistisk stil/retning på 1960-tallet som viderefører fokuset på det konkrete. Idealet var at lyrikken skulle være enkel og forståelig for alle, og den konkrete virkeligheten er viktigere enn symboler.</w:t>
      </w:r>
      <w:r w:rsidR="00406C3D" w:rsidRPr="00F97E77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406C3D" w:rsidRPr="00F97E77">
        <w:rPr>
          <w:rFonts w:ascii="Verdana" w:hAnsi="Verdana" w:cs="Verdana"/>
          <w:iCs/>
          <w:color w:val="0070C0"/>
          <w:sz w:val="24"/>
          <w:szCs w:val="24"/>
        </w:rPr>
        <w:t>Eksempel</w:t>
      </w:r>
      <w:r w:rsidR="00406C3D" w:rsidRPr="00F97E77">
        <w:rPr>
          <w:rFonts w:ascii="Verdana" w:hAnsi="Verdana" w:cs="Verdana"/>
          <w:color w:val="0070C0"/>
          <w:sz w:val="24"/>
          <w:szCs w:val="24"/>
        </w:rPr>
        <w:t xml:space="preserve">: Jan Erik </w:t>
      </w:r>
      <w:r w:rsidR="00406C3D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Vold (født 1939) </w:t>
      </w:r>
      <w:r w:rsidR="00406C3D"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Mor Godhjertas glade visjon. Ja</w:t>
      </w:r>
      <w:r w:rsidR="00406C3D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(1968).</w:t>
      </w:r>
    </w:p>
    <w:p w:rsidR="00406C3D" w:rsidRPr="00F97E77" w:rsidRDefault="00406C3D" w:rsidP="00406C3D">
      <w:pPr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Gjør kort greie for utviklingen innenfor den tradisjonelle litteraturen etter 1940 og forklar følgende fagbegreper</w:t>
      </w:r>
      <w:r w:rsidR="00C40378" w:rsidRPr="00F97E77">
        <w:rPr>
          <w:rFonts w:ascii="Verdana" w:hAnsi="Verdana" w:cs="Verdana"/>
          <w:sz w:val="24"/>
          <w:szCs w:val="24"/>
        </w:rPr>
        <w:t xml:space="preserve">: </w:t>
      </w:r>
      <w:r w:rsidR="00C40378" w:rsidRPr="00F97E77">
        <w:rPr>
          <w:rFonts w:ascii="Verdana" w:hAnsi="Verdana" w:cs="Verdana"/>
          <w:i/>
          <w:sz w:val="24"/>
          <w:szCs w:val="24"/>
        </w:rPr>
        <w:t>sentrallyrikk, kamplyrikk, individpsykologisk roman, sosialrealisme, feministisk litteratur</w:t>
      </w:r>
      <w:r w:rsidRPr="00F97E77">
        <w:rPr>
          <w:rFonts w:ascii="Verdana" w:hAnsi="Verdana" w:cs="Verdana"/>
          <w:i/>
          <w:sz w:val="24"/>
          <w:szCs w:val="24"/>
        </w:rPr>
        <w:t xml:space="preserve">. </w:t>
      </w:r>
      <w:r w:rsidRPr="00F97E77">
        <w:rPr>
          <w:rFonts w:ascii="Verdana" w:hAnsi="Verdana" w:cs="Verdana"/>
          <w:sz w:val="24"/>
          <w:szCs w:val="24"/>
        </w:rPr>
        <w:t xml:space="preserve">Trekk inn relevante forfattere og tekster. 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Sentrallyrikk: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 Strofisk lyrikk (lyrikk med like lange strofer, jevn rytme og enderim) om de store, eksistensielle spørsmålene. Klart språk og universelle symboler.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 xml:space="preserve">Kamplyrikk: 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Strofisk lyrikk, ofte med spesielt fast rytme. Motivet er politisk, og budskapet er å mane til handling og samhold. Typisk for 1930-tallets kommunistiske og anti-fascistiske lyrikk, men også synlig for eksempel i krigslyrikken. Eksempel: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Inger Hagerups (1905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1985) «Aust-Vågøy» (1941).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lastRenderedPageBreak/>
        <w:t>individpsykologisk roman: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 Roman der forfatteren fokuserer på hovedpersonens tanker og følelser, går ofte dypt i </w:t>
      </w:r>
      <w:proofErr w:type="spellStart"/>
      <w:r w:rsidRPr="00F97E77">
        <w:rPr>
          <w:rFonts w:ascii="Verdana" w:hAnsi="Verdana" w:cs="Verdana"/>
          <w:iCs/>
          <w:color w:val="0070C0"/>
          <w:sz w:val="24"/>
          <w:szCs w:val="24"/>
        </w:rPr>
        <w:t>vedkommendes</w:t>
      </w:r>
      <w:proofErr w:type="spellEnd"/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 psyke. Fins i nyrealismens romaner på begynnelsen av 1900-tallet og forsterket seg med psykoanalysen i litteraturen på 1920-tallet. Også typisk for romaner fra etterkrigstiden. Eksempel: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Torborg Nedreaas (1906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1987):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Musikk fra en blå brønn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(1960). Agnar Mykle (1915</w:t>
      </w:r>
      <w:r w:rsidR="00785FAC"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1994):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Sangen om den røde rubin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(1956).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 xml:space="preserve">sosialrealisme: 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Politisk motiverte romaner fra 1970-tallet, etter en sovjetisk tradisjon. Fast mønster: hovedpersonen får innsikt i roten til samfunnsproblemer og det fører til handling som bedrer situasjonen. Mange trekk til felles med realistisk litteratur fra 1870- og 80-tallet, men ofte med marxistisk grunnlag (se også feministisk litteratur). Eksempel: Dag Solstad (født 1941): </w:t>
      </w: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 xml:space="preserve">25. </w:t>
      </w:r>
      <w:proofErr w:type="spellStart"/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septemberplassen</w:t>
      </w:r>
      <w:proofErr w:type="spellEnd"/>
      <w:r w:rsidRPr="00F97E77">
        <w:rPr>
          <w:rFonts w:ascii="Verdana" w:hAnsi="Verdana" w:cs="Verdana"/>
          <w:iCs/>
          <w:color w:val="0070C0"/>
          <w:sz w:val="24"/>
          <w:szCs w:val="24"/>
        </w:rPr>
        <w:t xml:space="preserve"> (1974).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/>
          <w:iCs/>
          <w:color w:val="0070C0"/>
          <w:sz w:val="24"/>
          <w:szCs w:val="24"/>
        </w:rPr>
        <w:t>feministisk litteratur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: </w:t>
      </w:r>
      <w:r w:rsidRPr="00F97E77">
        <w:rPr>
          <w:rFonts w:ascii="Verdana" w:hAnsi="Verdana" w:cs="Verdana"/>
          <w:iCs/>
          <w:color w:val="0070C0"/>
          <w:sz w:val="24"/>
          <w:szCs w:val="24"/>
        </w:rPr>
        <w:t>En type sosialrealisme med fokus på kvinners situasjon og mål om likestilling. Eksempel: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Liv Køltzow (født 1945):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Hvem bestemmer over Bjørg og Unni?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(1972).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Skriv fem setninger om forfatterskapene til tre modernistiske og tre tradisjonelle forfattere fra perioden.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>Modernistiske forfattere:</w:t>
      </w: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Gunvor Hofmo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(1921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1995)</w:t>
      </w: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: 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Regnes som 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femititallsmodernist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>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Ekspresjonistisk.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Om det isolerte, ensomme mennesket.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Mistet nær jødisk venninne under krigen.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iCs/>
          <w:color w:val="0070C0"/>
          <w:sz w:val="24"/>
          <w:szCs w:val="24"/>
          <w:lang w:eastAsia="nb-NO"/>
        </w:rPr>
        <w:t>Debut: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Jeg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vil hjem til mennesken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e (1946).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Paal Brekke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(1923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1993):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Regnes som 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femititallsmodernist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>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Brøt klassiske lyriske «regler».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Hovedmotstander til Øverland og Brekke i Tungetaledebatten.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Sentralt eksempel: </w:t>
      </w:r>
      <w:r w:rsidRPr="00F97E77">
        <w:rPr>
          <w:rFonts w:ascii="Verdana" w:hAnsi="Verdana" w:cs="Arial"/>
          <w:i/>
          <w:color w:val="0070C0"/>
          <w:sz w:val="24"/>
          <w:szCs w:val="24"/>
        </w:rPr>
        <w:t xml:space="preserve">Skyggefektning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(1949).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da-DK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 xml:space="preserve">Diktet «Tre ved stranden» fra samlingen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val="da-DK" w:eastAsia="nb-NO"/>
        </w:rPr>
        <w:t>Løft min krone, vind fra intet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val="da-DK" w:eastAsia="nb-NO"/>
        </w:rPr>
        <w:t xml:space="preserve"> (1957).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  <w:lang w:val="da-DK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Tarjei Vesaas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(1897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1970)</w:t>
      </w:r>
      <w:r w:rsidRPr="00F97E77">
        <w:rPr>
          <w:rFonts w:ascii="Verdana" w:hAnsi="Verdana" w:cs="Verdana"/>
          <w:b/>
          <w:color w:val="0070C0"/>
          <w:sz w:val="24"/>
          <w:szCs w:val="24"/>
        </w:rPr>
        <w:t>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Regnes som 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femititallsmodernist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>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Skrev lyrikk, romaner og noveller.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Tidlig ute med modernistisk epikk (romaner, noveller).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Sentralt eksempel, lyrikk: </w:t>
      </w:r>
      <w:r w:rsidRPr="00F97E77">
        <w:rPr>
          <w:rFonts w:ascii="Verdana" w:hAnsi="Verdana" w:cs="Arial"/>
          <w:i/>
          <w:color w:val="0070C0"/>
          <w:sz w:val="24"/>
          <w:szCs w:val="24"/>
        </w:rPr>
        <w:t xml:space="preserve">Lykka for </w:t>
      </w:r>
      <w:proofErr w:type="spellStart"/>
      <w:r w:rsidRPr="00F97E77">
        <w:rPr>
          <w:rFonts w:ascii="Verdana" w:hAnsi="Verdana" w:cs="Arial"/>
          <w:i/>
          <w:color w:val="0070C0"/>
          <w:sz w:val="24"/>
          <w:szCs w:val="24"/>
        </w:rPr>
        <w:t>ferdesmenn</w:t>
      </w:r>
      <w:proofErr w:type="spellEnd"/>
      <w:r w:rsidRPr="00F97E77">
        <w:rPr>
          <w:rFonts w:ascii="Verdana" w:hAnsi="Verdana" w:cs="Arial"/>
          <w:color w:val="0070C0"/>
          <w:sz w:val="24"/>
          <w:szCs w:val="24"/>
        </w:rPr>
        <w:t xml:space="preserve"> 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(1949).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lastRenderedPageBreak/>
        <w:t xml:space="preserve">Sentralt eksempel, prosa: novellesamlingen </w:t>
      </w:r>
      <w:proofErr w:type="spellStart"/>
      <w:r w:rsidRPr="00F97E77">
        <w:rPr>
          <w:rFonts w:ascii="Verdana" w:hAnsi="Verdana" w:cs="Verdana"/>
          <w:i/>
          <w:color w:val="0070C0"/>
          <w:sz w:val="24"/>
          <w:szCs w:val="24"/>
        </w:rPr>
        <w:t>Vindane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 xml:space="preserve"> (1952) og romanene </w:t>
      </w:r>
      <w:r w:rsidRPr="00F97E77">
        <w:rPr>
          <w:rFonts w:ascii="Verdana" w:hAnsi="Verdana" w:cs="Verdana"/>
          <w:i/>
          <w:color w:val="0070C0"/>
          <w:sz w:val="24"/>
          <w:szCs w:val="24"/>
        </w:rPr>
        <w:t>Kimen</w:t>
      </w:r>
      <w:r w:rsidRPr="00F97E77">
        <w:rPr>
          <w:rFonts w:ascii="Verdana" w:hAnsi="Verdana" w:cs="Verdana"/>
          <w:color w:val="0070C0"/>
          <w:sz w:val="24"/>
          <w:szCs w:val="24"/>
        </w:rPr>
        <w:t xml:space="preserve"> (1940) og </w:t>
      </w:r>
      <w:proofErr w:type="spellStart"/>
      <w:r w:rsidRPr="00F97E77">
        <w:rPr>
          <w:rFonts w:ascii="Verdana" w:hAnsi="Verdana" w:cs="Verdana"/>
          <w:i/>
          <w:color w:val="0070C0"/>
          <w:sz w:val="24"/>
          <w:szCs w:val="24"/>
        </w:rPr>
        <w:t>Fuglane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 xml:space="preserve"> (1957).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Johan </w:t>
      </w:r>
      <w:r w:rsidRPr="00F97E77">
        <w:rPr>
          <w:rFonts w:ascii="Verdana" w:hAnsi="Verdana" w:cs="Arial"/>
          <w:b/>
          <w:color w:val="0070C0"/>
          <w:sz w:val="24"/>
          <w:szCs w:val="24"/>
        </w:rPr>
        <w:t>Borgen (1902</w:t>
      </w:r>
      <w:r w:rsidR="00785FAC" w:rsidRPr="00F97E77">
        <w:rPr>
          <w:rFonts w:ascii="Verdana" w:hAnsi="Verdana" w:cs="Arial"/>
          <w:b/>
          <w:color w:val="0070C0"/>
          <w:sz w:val="24"/>
          <w:szCs w:val="24"/>
        </w:rPr>
        <w:t>–</w:t>
      </w:r>
      <w:r w:rsidRPr="00F97E77">
        <w:rPr>
          <w:rFonts w:ascii="Verdana" w:hAnsi="Verdana" w:cs="Arial"/>
          <w:b/>
          <w:color w:val="0070C0"/>
          <w:sz w:val="24"/>
          <w:szCs w:val="24"/>
        </w:rPr>
        <w:t>1979):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Skrev noveller og romaner.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Influert av psykoanalysen.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Tidlig ute med modernistisk epikk (tradisjonell form, modernistisk menneskesyn).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Opptatt av identitet, barndom og psykoanalyse.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Sentral roman:</w:t>
      </w:r>
      <w:r w:rsidRPr="00F97E77">
        <w:rPr>
          <w:rFonts w:ascii="Verdana" w:hAnsi="Verdana" w:cs="Arial"/>
          <w:i/>
          <w:color w:val="0070C0"/>
          <w:sz w:val="24"/>
          <w:szCs w:val="24"/>
        </w:rPr>
        <w:t xml:space="preserve"> </w:t>
      </w:r>
      <w:proofErr w:type="spellStart"/>
      <w:r w:rsidRPr="00F97E77">
        <w:rPr>
          <w:rFonts w:ascii="Verdana" w:hAnsi="Verdana" w:cs="Arial"/>
          <w:i/>
          <w:color w:val="0070C0"/>
          <w:sz w:val="24"/>
          <w:szCs w:val="24"/>
        </w:rPr>
        <w:t>Lillelord</w:t>
      </w:r>
      <w:proofErr w:type="spellEnd"/>
      <w:r w:rsidRPr="00F97E77">
        <w:rPr>
          <w:rFonts w:ascii="Verdana" w:hAnsi="Verdana" w:cs="Arial"/>
          <w:color w:val="0070C0"/>
          <w:sz w:val="24"/>
          <w:szCs w:val="24"/>
        </w:rPr>
        <w:t xml:space="preserve"> (1955).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Olav H.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Hauge (1908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1994):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Representant for «konkretisme» og «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tingdikt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>».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Viktig representant for </w:t>
      </w:r>
      <w:proofErr w:type="spellStart"/>
      <w:r w:rsidRPr="00F97E77">
        <w:rPr>
          <w:rFonts w:ascii="Verdana" w:hAnsi="Verdana" w:cs="Verdana"/>
          <w:color w:val="0070C0"/>
          <w:sz w:val="24"/>
          <w:szCs w:val="24"/>
        </w:rPr>
        <w:t>seksistallsmodernismen</w:t>
      </w:r>
      <w:proofErr w:type="spellEnd"/>
      <w:r w:rsidRPr="00F97E77">
        <w:rPr>
          <w:rFonts w:ascii="Verdana" w:hAnsi="Verdana" w:cs="Verdana"/>
          <w:color w:val="0070C0"/>
          <w:sz w:val="24"/>
          <w:szCs w:val="24"/>
        </w:rPr>
        <w:t>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Påvirket Profil-gruppa.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Internasjonalt orientert, oversatte bla. </w:t>
      </w:r>
      <w:proofErr w:type="gramStart"/>
      <w:r w:rsidRPr="00F97E77">
        <w:rPr>
          <w:rFonts w:ascii="Verdana" w:hAnsi="Verdana" w:cs="Verdana"/>
          <w:color w:val="0070C0"/>
          <w:sz w:val="24"/>
          <w:szCs w:val="24"/>
        </w:rPr>
        <w:t>asiatisk lyrikk.</w:t>
      </w:r>
      <w:proofErr w:type="gramEnd"/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nn-NO"/>
        </w:rPr>
      </w:pPr>
      <w:r w:rsidRPr="00F97E77">
        <w:rPr>
          <w:rFonts w:ascii="Verdana" w:hAnsi="Verdana" w:cs="Verdana"/>
          <w:iCs/>
          <w:color w:val="0070C0"/>
          <w:sz w:val="24"/>
          <w:szCs w:val="24"/>
          <w:lang w:val="nn-NO"/>
        </w:rPr>
        <w:t xml:space="preserve">Sentralt eksempel: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val="nn-NO" w:eastAsia="nb-NO"/>
        </w:rPr>
        <w:t>Dropar i austavind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val="nn-NO" w:eastAsia="nb-NO"/>
        </w:rPr>
        <w:t xml:space="preserve"> (1966)</w:t>
      </w:r>
      <w:r w:rsidRPr="00F97E77">
        <w:rPr>
          <w:rFonts w:ascii="Verdana" w:hAnsi="Verdana" w:cs="Verdana"/>
          <w:iCs/>
          <w:color w:val="0070C0"/>
          <w:sz w:val="24"/>
          <w:szCs w:val="24"/>
          <w:lang w:val="nn-NO"/>
        </w:rPr>
        <w:t>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  <w:lang w:val="nn-NO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Dag Solstad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(født 1941):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Sentral i Profil-gruppa på 1960-tallet.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Påvirket av det konkrete hos Olav H. Hauge, Georg Johannesen og Tarjei Vesaas.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Rollespill-teori: mennesket har ikke noe fast jeg, men spiller bare roller.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Marxistisk forfatter og medlem av AKP (m-l) på 1970-tallet.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Cs/>
          <w:color w:val="0070C0"/>
          <w:sz w:val="24"/>
          <w:szCs w:val="24"/>
        </w:rPr>
        <w:t>Sentrale 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ekster: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Svingstol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(1967),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Irr! Grønt!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(1969),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 xml:space="preserve"> Arild </w:t>
      </w:r>
      <w:proofErr w:type="spellStart"/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Asnes</w:t>
      </w:r>
      <w:proofErr w:type="spellEnd"/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, 1970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(1971),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Gymnaslærer Pedersens beretning om den store politiske vekkelsen som har hjemsøkt vårt land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(1982).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Jan Erik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Vold (født 1939):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Sentral i Profil-gruppa på 1960-tallet.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Skrev nyenkel lyrikk og </w:t>
      </w:r>
      <w:proofErr w:type="spellStart"/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nonsense</w:t>
      </w:r>
      <w:proofErr w:type="spellEnd"/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-lyrikk.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Politisk og samfunnsbevisst.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Cs/>
          <w:color w:val="0070C0"/>
          <w:sz w:val="24"/>
          <w:szCs w:val="24"/>
        </w:rPr>
        <w:t>Sentrale 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ekster: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 xml:space="preserve"> Mor Godhjertas glade visjon. Ja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(1968) og </w:t>
      </w:r>
      <w:proofErr w:type="spellStart"/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kykelipi</w:t>
      </w:r>
      <w:proofErr w:type="spellEnd"/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(1969).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Gikk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ikke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inn i AKP (m-l) på 1970-tallet.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Kjartan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Fløgstad (født 1944):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Har kalt seg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sosialmodernist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(ikke sosialrealist).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Grunnleggende kjennskap til arbeiderkultur.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Innslag av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magisk realisme</w:t>
      </w:r>
      <w:r w:rsidRPr="00F97E77">
        <w:rPr>
          <w:rFonts w:ascii="Verdana" w:eastAsia="Times New Roman" w:hAnsi="Verdana" w:cs="Arial"/>
          <w:iCs/>
          <w:color w:val="0070C0"/>
          <w:sz w:val="24"/>
          <w:szCs w:val="24"/>
          <w:lang w:eastAsia="nb-NO"/>
        </w:rPr>
        <w:t xml:space="preserve"> i tekstene (overnaturlige hendelser som inngår naturlig i et realistisk univers).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iCs/>
          <w:color w:val="0070C0"/>
          <w:sz w:val="24"/>
          <w:szCs w:val="24"/>
        </w:rPr>
        <w:t>Sentrale 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ekster: Novellesamlingen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Fangliner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(1972), romanene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Dalen Portland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(1977) og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Fyr og flamme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(1980).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lastRenderedPageBreak/>
        <w:t>Ikke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Profil-medlem,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ikke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medlem av AKP (m-l) på 1970-tallet.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>Tradisjonelle forfattere:</w:t>
      </w: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Arnulf Øverland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(1889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1968):</w:t>
      </w:r>
      <w:r w:rsidRPr="00F97E77">
        <w:rPr>
          <w:rFonts w:ascii="Arial" w:eastAsia="Times New Roman" w:hAnsi="Arial" w:cs="Arial"/>
          <w:b/>
          <w:i/>
          <w:color w:val="0070C0"/>
          <w:sz w:val="24"/>
          <w:szCs w:val="24"/>
          <w:lang w:eastAsia="nb-NO"/>
        </w:rPr>
        <w:t xml:space="preserve"> 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Kommunist og anti-fascist.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Satt i konsentrasjonsleir under andre verdenskrig.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Aktiv under Tungetaledebatten på 1950-tallet.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Sentral artikkel: «Tungetale fra Parnasset» (1953).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Torborg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Nedreaas (1906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1987):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nn-NO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val="nn-NO" w:eastAsia="nb-NO"/>
        </w:rPr>
        <w:t xml:space="preserve">Skriv individpsykologiske </w:t>
      </w:r>
      <w:proofErr w:type="spellStart"/>
      <w:r w:rsidRPr="00F97E77">
        <w:rPr>
          <w:rFonts w:ascii="Verdana" w:eastAsia="Times New Roman" w:hAnsi="Verdana" w:cs="Arial"/>
          <w:color w:val="0070C0"/>
          <w:sz w:val="24"/>
          <w:szCs w:val="24"/>
          <w:lang w:val="nn-NO" w:eastAsia="nb-NO"/>
        </w:rPr>
        <w:t>romaner</w:t>
      </w:r>
      <w:proofErr w:type="spellEnd"/>
      <w:r w:rsidRPr="00F97E77">
        <w:rPr>
          <w:rFonts w:ascii="Verdana" w:eastAsia="Times New Roman" w:hAnsi="Verdana" w:cs="Arial"/>
          <w:color w:val="0070C0"/>
          <w:sz w:val="24"/>
          <w:szCs w:val="24"/>
          <w:lang w:val="nn-NO" w:eastAsia="nb-NO"/>
        </w:rPr>
        <w:t xml:space="preserve"> og noveller.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Formidlet et kvinnelig perspektiv på krigen. 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Kommunist.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Bøker om jenta Herdis: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Trylleglasset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(1950),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Musikk fra en blå brønn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(1960).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Om abort-problematikk: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Av måneskinn gror det ingenting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(1947).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Agnar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Mykle (1915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1994):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Skrev romaner og noveller.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Budskap: ønske om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rom for kjærlighet i et konformt samfunn.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Stevnet for retten 1957 pga. romanen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Sangen om den røde rubin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(1956) som ble bedømt som usedelig.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Mykle-saken i 1957 minnet om sedelighetsdebatten på 1880-tallet.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Forfatteren skrev lite etter rettssaken.</w:t>
      </w:r>
    </w:p>
    <w:p w:rsidR="00406C3D" w:rsidRPr="00F97E77" w:rsidRDefault="00406C3D" w:rsidP="00406C3D">
      <w:pPr>
        <w:pStyle w:val="Listeavsnitt"/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70C0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F97E77">
        <w:rPr>
          <w:rFonts w:ascii="Verdana" w:hAnsi="Verdana" w:cs="Verdana"/>
          <w:b/>
          <w:color w:val="0070C0"/>
          <w:sz w:val="24"/>
          <w:szCs w:val="24"/>
        </w:rPr>
        <w:t xml:space="preserve">Jens 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Bjørneboe (1920</w:t>
      </w:r>
      <w:r w:rsidR="00785FAC"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–</w:t>
      </w:r>
      <w:r w:rsidRPr="00F97E77">
        <w:rPr>
          <w:rFonts w:ascii="Verdana" w:eastAsia="Times New Roman" w:hAnsi="Verdana" w:cs="Arial"/>
          <w:b/>
          <w:color w:val="0070C0"/>
          <w:sz w:val="24"/>
          <w:szCs w:val="24"/>
          <w:lang w:eastAsia="nb-NO"/>
        </w:rPr>
        <w:t>1976):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>Dramatiker, lyriker og romanforfatter.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Tendensforfatter som var opptatt av undertryktes rettigheter og bla. </w:t>
      </w:r>
      <w:proofErr w:type="gramStart"/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av </w:t>
      </w:r>
      <w:r w:rsidRPr="00F97E77">
        <w:rPr>
          <w:rFonts w:ascii="Verdana" w:hAnsi="Verdana" w:cs="Verdana"/>
          <w:color w:val="0070C0"/>
          <w:sz w:val="24"/>
          <w:szCs w:val="24"/>
        </w:rPr>
        <w:t>skolevesenet og fengselsvesenet.</w:t>
      </w:r>
      <w:proofErr w:type="gramEnd"/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>Influert av Brechts fremmedgjøringsteater.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Romaner: </w:t>
      </w:r>
      <w:r w:rsidRPr="00F97E77">
        <w:rPr>
          <w:rFonts w:ascii="Verdana" w:eastAsia="Times New Roman" w:hAnsi="Verdana" w:cs="Arial"/>
          <w:i/>
          <w:iCs/>
          <w:color w:val="0070C0"/>
          <w:sz w:val="24"/>
          <w:szCs w:val="24"/>
          <w:lang w:eastAsia="nb-NO"/>
        </w:rPr>
        <w:t>Jonas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(1955),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Haiene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(1974).</w:t>
      </w:r>
    </w:p>
    <w:p w:rsidR="00406C3D" w:rsidRPr="00F97E77" w:rsidRDefault="00406C3D" w:rsidP="00406C3D">
      <w:pPr>
        <w:pStyle w:val="Listeavsnit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Skuespill: </w:t>
      </w:r>
      <w:proofErr w:type="spellStart"/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Semmelweiss</w:t>
      </w:r>
      <w:proofErr w:type="spellEnd"/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(1968), </w:t>
      </w:r>
      <w:r w:rsidRPr="00F97E77">
        <w:rPr>
          <w:rFonts w:ascii="Verdana" w:eastAsia="Times New Roman" w:hAnsi="Verdana" w:cs="Arial"/>
          <w:i/>
          <w:color w:val="0070C0"/>
          <w:sz w:val="24"/>
          <w:szCs w:val="24"/>
          <w:lang w:eastAsia="nb-NO"/>
        </w:rPr>
        <w:t>Til lykke med dagen</w:t>
      </w:r>
      <w:r w:rsidRPr="00F97E77">
        <w:rPr>
          <w:rFonts w:ascii="Verdana" w:eastAsia="Times New Roman" w:hAnsi="Verdana" w:cs="Arial"/>
          <w:color w:val="0070C0"/>
          <w:sz w:val="24"/>
          <w:szCs w:val="24"/>
          <w:lang w:eastAsia="nb-NO"/>
        </w:rPr>
        <w:t xml:space="preserve"> (1965).</w:t>
      </w:r>
    </w:p>
    <w:p w:rsidR="00406C3D" w:rsidRPr="00F97E77" w:rsidRDefault="00406C3D" w:rsidP="00406C3D">
      <w:pPr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Hva er Tungetaledebatten?</w:t>
      </w:r>
    </w:p>
    <w:p w:rsidR="00406C3D" w:rsidRPr="00F97E77" w:rsidRDefault="00406C3D" w:rsidP="00406C3D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70C0"/>
          <w:sz w:val="24"/>
          <w:szCs w:val="24"/>
        </w:rPr>
      </w:pPr>
      <w:r w:rsidRPr="00F97E77">
        <w:rPr>
          <w:rFonts w:ascii="Verdana" w:hAnsi="Verdana" w:cs="Verdana"/>
          <w:color w:val="0070C0"/>
          <w:sz w:val="24"/>
          <w:szCs w:val="24"/>
        </w:rPr>
        <w:t xml:space="preserve">Tungetaledebatten var en debatt på 1950-tallet mellom representanter for modernistisk lyrikk (Paal Brekke og Erling Christie) og motstandere av modernistisk lyrikk (Arnulf Øverland og André Bjerke). Motstanderne hevdet at modernismen var banal og tullete i innhold, men alt for komplisert i form og at modernistene ikke hadde kunnskap om lyrikk. Navnet kommer av et foredrag som Øverland holdt i 1953, «Tungetale fra Parnasset». </w:t>
      </w:r>
    </w:p>
    <w:p w:rsidR="00406C3D" w:rsidRPr="00F97E77" w:rsidRDefault="00406C3D" w:rsidP="00406C3D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4"/>
          <w:szCs w:val="24"/>
        </w:rPr>
      </w:pPr>
    </w:p>
    <w:p w:rsidR="00406C3D" w:rsidRPr="00F97E77" w:rsidRDefault="00406C3D" w:rsidP="00406C3D">
      <w:pPr>
        <w:pStyle w:val="Listeavsnitt"/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 w:cs="Verdana"/>
          <w:sz w:val="24"/>
          <w:szCs w:val="24"/>
        </w:rPr>
        <w:t>Hva er Profil-opprøret?</w:t>
      </w:r>
    </w:p>
    <w:p w:rsidR="00406C3D" w:rsidRPr="00F97E77" w:rsidRDefault="00406C3D" w:rsidP="00406C3D">
      <w:pPr>
        <w:pStyle w:val="Listeavsnitt"/>
        <w:rPr>
          <w:rFonts w:ascii="Verdana" w:hAnsi="Verdana" w:cs="Verdana"/>
          <w:sz w:val="24"/>
          <w:szCs w:val="24"/>
        </w:rPr>
      </w:pPr>
      <w:r w:rsidRPr="00F97E77">
        <w:rPr>
          <w:rFonts w:ascii="Verdana" w:hAnsi="Verdana"/>
          <w:color w:val="0070C0"/>
          <w:sz w:val="24"/>
          <w:szCs w:val="24"/>
        </w:rPr>
        <w:lastRenderedPageBreak/>
        <w:t>Profil-opprøret kaller vi det litterære opprøret som en gruppe studenter sto for på 1960-tallet. Da «kuppet» de tidsskriftet Profil og lot det stå for en ny type litteratur: enklere og mindre symboltung og forståelig for alle.</w:t>
      </w:r>
      <w:r w:rsidRPr="00F97E77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5E68D9" w:rsidRPr="00F97E77" w:rsidRDefault="005E68D9"/>
    <w:sectPr w:rsidR="005E68D9" w:rsidRPr="00F9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82D"/>
    <w:multiLevelType w:val="hybridMultilevel"/>
    <w:tmpl w:val="A6A0E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728"/>
    <w:multiLevelType w:val="hybridMultilevel"/>
    <w:tmpl w:val="0B8086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22EC"/>
    <w:multiLevelType w:val="hybridMultilevel"/>
    <w:tmpl w:val="DCB0D72A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400DA"/>
    <w:multiLevelType w:val="hybridMultilevel"/>
    <w:tmpl w:val="51A232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77486B"/>
    <w:multiLevelType w:val="hybridMultilevel"/>
    <w:tmpl w:val="188036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6E19"/>
    <w:multiLevelType w:val="hybridMultilevel"/>
    <w:tmpl w:val="13DC5CA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B"/>
    <w:rsid w:val="002E46BB"/>
    <w:rsid w:val="00406C3D"/>
    <w:rsid w:val="005E68D9"/>
    <w:rsid w:val="00785FAC"/>
    <w:rsid w:val="00C40378"/>
    <w:rsid w:val="00F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3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3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Kleiveland</dc:creator>
  <cp:lastModifiedBy>Malgorzata Golinska</cp:lastModifiedBy>
  <cp:revision>3</cp:revision>
  <dcterms:created xsi:type="dcterms:W3CDTF">2015-08-05T11:34:00Z</dcterms:created>
  <dcterms:modified xsi:type="dcterms:W3CDTF">2015-08-05T11:58:00Z</dcterms:modified>
</cp:coreProperties>
</file>